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tblInd w:w="-356" w:type="dxa"/>
        <w:tblLook w:val="04A0"/>
      </w:tblPr>
      <w:tblGrid>
        <w:gridCol w:w="5529"/>
        <w:gridCol w:w="4832"/>
      </w:tblGrid>
      <w:tr w:rsidR="00745D4A" w:rsidRPr="00B2057D" w:rsidTr="00745D4A">
        <w:trPr>
          <w:trHeight w:val="2910"/>
        </w:trPr>
        <w:tc>
          <w:tcPr>
            <w:tcW w:w="5529" w:type="dxa"/>
          </w:tcPr>
          <w:p w:rsidR="00745D4A" w:rsidRDefault="00A80A3A" w:rsidP="008D7497">
            <w:pPr>
              <w:spacing w:line="300" w:lineRule="atLeast"/>
              <w:jc w:val="center"/>
              <w:rPr>
                <w:rFonts w:cs="Calibri"/>
                <w:b/>
                <w:sz w:val="20"/>
              </w:rPr>
            </w:pPr>
            <w:bookmarkStart w:id="0" w:name="_Toc201465887"/>
            <w:bookmarkStart w:id="1" w:name="_Toc201465888"/>
            <w:r>
              <w:rPr>
                <w:rFonts w:cs="Calibri"/>
                <w:noProof/>
                <w:sz w:val="20"/>
                <w:lang w:val="en-US"/>
              </w:rPr>
              <w:drawing>
                <wp:inline distT="0" distB="0" distL="0" distR="0">
                  <wp:extent cx="675640" cy="691515"/>
                  <wp:effectExtent l="19050" t="0" r="0" b="0"/>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8.30D2?OpenElement&amp;FieldElemFormat=jpg"/>
                          <pic:cNvPicPr>
                            <a:picLocks noChangeAspect="1" noChangeArrowheads="1"/>
                          </pic:cNvPicPr>
                        </pic:nvPicPr>
                        <pic:blipFill>
                          <a:blip r:embed="rId7" r:link="rId8"/>
                          <a:srcRect/>
                          <a:stretch>
                            <a:fillRect/>
                          </a:stretch>
                        </pic:blipFill>
                        <pic:spPr bwMode="auto">
                          <a:xfrm>
                            <a:off x="0" y="0"/>
                            <a:ext cx="675640" cy="691515"/>
                          </a:xfrm>
                          <a:prstGeom prst="rect">
                            <a:avLst/>
                          </a:prstGeom>
                          <a:noFill/>
                          <a:ln w="9525">
                            <a:noFill/>
                            <a:miter lim="800000"/>
                            <a:headEnd/>
                            <a:tailEnd/>
                          </a:ln>
                        </pic:spPr>
                      </pic:pic>
                    </a:graphicData>
                  </a:graphic>
                </wp:inline>
              </w:drawing>
            </w:r>
            <w:bookmarkEnd w:id="0"/>
          </w:p>
          <w:p w:rsidR="00745D4A" w:rsidRDefault="00745D4A" w:rsidP="008D7497">
            <w:pPr>
              <w:spacing w:line="300" w:lineRule="atLeast"/>
              <w:jc w:val="center"/>
              <w:rPr>
                <w:rFonts w:cs="Calibri"/>
                <w:b/>
                <w:sz w:val="20"/>
              </w:rPr>
            </w:pPr>
          </w:p>
          <w:p w:rsidR="00745D4A" w:rsidRPr="00745D4A" w:rsidRDefault="00745D4A" w:rsidP="00745D4A">
            <w:pPr>
              <w:spacing w:line="300" w:lineRule="atLeast"/>
              <w:jc w:val="center"/>
              <w:rPr>
                <w:rFonts w:cs="Calibri"/>
                <w:b/>
                <w:sz w:val="20"/>
                <w:lang w:val="en-GB"/>
              </w:rPr>
            </w:pPr>
            <w:r>
              <w:rPr>
                <w:rFonts w:cs="Calibri"/>
                <w:b/>
                <w:sz w:val="20"/>
              </w:rPr>
              <w:t>ΚΥΠΡΙΑΚΗ  ΔΗΜΟΚΡΑΤΙΑ</w:t>
            </w:r>
            <w:bookmarkEnd w:id="1"/>
          </w:p>
          <w:p w:rsidR="00745D4A" w:rsidRDefault="00745D4A" w:rsidP="008D7497">
            <w:pPr>
              <w:spacing w:line="300" w:lineRule="atLeast"/>
              <w:jc w:val="center"/>
              <w:rPr>
                <w:rFonts w:cs="Calibri"/>
                <w:b/>
                <w:sz w:val="20"/>
              </w:rPr>
            </w:pPr>
            <w:bookmarkStart w:id="2" w:name="_Toc201465889"/>
            <w:r>
              <w:rPr>
                <w:rFonts w:cs="Calibri"/>
                <w:b/>
                <w:sz w:val="20"/>
              </w:rPr>
              <w:t>ΥΠΟΥΡΓΕΙΟ</w:t>
            </w:r>
            <w:bookmarkEnd w:id="2"/>
          </w:p>
          <w:p w:rsidR="00745D4A" w:rsidRDefault="00745D4A" w:rsidP="008D7497">
            <w:pPr>
              <w:spacing w:line="300" w:lineRule="atLeast"/>
              <w:jc w:val="center"/>
              <w:rPr>
                <w:rFonts w:cs="Calibri"/>
                <w:b/>
                <w:sz w:val="20"/>
              </w:rPr>
            </w:pPr>
            <w:bookmarkStart w:id="3" w:name="_Toc201465890"/>
            <w:r>
              <w:rPr>
                <w:rFonts w:cs="Calibri"/>
                <w:b/>
                <w:sz w:val="20"/>
              </w:rPr>
              <w:t>ΓΕΩΡΓΙΑΣ, ΑΓΡΟΤΙΚΗΣ ΑΝΑΠΤΥΞΗΣ ΚΑΙ ΠΕΡΙΒΑΛΛΟΝΤΟΣ</w:t>
            </w:r>
            <w:bookmarkEnd w:id="3"/>
          </w:p>
          <w:p w:rsidR="00745D4A" w:rsidRDefault="00745D4A" w:rsidP="008D7497">
            <w:pPr>
              <w:spacing w:line="300" w:lineRule="atLeast"/>
              <w:jc w:val="center"/>
              <w:rPr>
                <w:rFonts w:cs="Calibri"/>
                <w:b/>
                <w:sz w:val="20"/>
              </w:rPr>
            </w:pPr>
            <w:r>
              <w:rPr>
                <w:rFonts w:cs="Calibri"/>
                <w:b/>
                <w:sz w:val="20"/>
              </w:rPr>
              <w:t>ΤΜΗΜΑ ΑΛΙΕΙΑΣ ΚΑΙ ΘΑΛΑΣΣΙΩΝ ΕΡΕΥΝΩΝ</w:t>
            </w:r>
          </w:p>
          <w:p w:rsidR="00745D4A" w:rsidRDefault="00745D4A" w:rsidP="008D7497">
            <w:pPr>
              <w:spacing w:line="300" w:lineRule="atLeast"/>
              <w:jc w:val="center"/>
              <w:rPr>
                <w:rFonts w:cs="Calibri"/>
                <w:sz w:val="20"/>
              </w:rPr>
            </w:pPr>
          </w:p>
        </w:tc>
        <w:tc>
          <w:tcPr>
            <w:tcW w:w="4832" w:type="dxa"/>
          </w:tcPr>
          <w:p w:rsidR="00745D4A" w:rsidRDefault="00745D4A" w:rsidP="008D7497">
            <w:pPr>
              <w:spacing w:line="300" w:lineRule="atLeast"/>
              <w:jc w:val="center"/>
              <w:rPr>
                <w:rFonts w:cs="Calibri"/>
                <w:sz w:val="20"/>
              </w:rPr>
            </w:pPr>
          </w:p>
          <w:p w:rsidR="00745D4A" w:rsidRDefault="00A80A3A" w:rsidP="008D7497">
            <w:pPr>
              <w:spacing w:line="300" w:lineRule="atLeast"/>
              <w:jc w:val="center"/>
              <w:rPr>
                <w:rFonts w:cs="Calibri"/>
                <w:b/>
                <w:sz w:val="20"/>
              </w:rPr>
            </w:pPr>
            <w:bookmarkStart w:id="4" w:name="_Toc201465892"/>
            <w:r>
              <w:rPr>
                <w:rFonts w:cs="Calibri"/>
                <w:noProof/>
                <w:sz w:val="20"/>
                <w:lang w:val="en-US"/>
              </w:rPr>
              <w:drawing>
                <wp:inline distT="0" distB="0" distL="0" distR="0">
                  <wp:extent cx="914400" cy="612140"/>
                  <wp:effectExtent l="19050" t="0" r="0" b="0"/>
                  <wp:docPr id="2" name="Picture 2" descr="embl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3"/>
                          <pic:cNvPicPr>
                            <a:picLocks noChangeAspect="1" noChangeArrowheads="1"/>
                          </pic:cNvPicPr>
                        </pic:nvPicPr>
                        <pic:blipFill>
                          <a:blip r:embed="rId9" cstate="print"/>
                          <a:srcRect/>
                          <a:stretch>
                            <a:fillRect/>
                          </a:stretch>
                        </pic:blipFill>
                        <pic:spPr bwMode="auto">
                          <a:xfrm>
                            <a:off x="0" y="0"/>
                            <a:ext cx="914400" cy="612140"/>
                          </a:xfrm>
                          <a:prstGeom prst="rect">
                            <a:avLst/>
                          </a:prstGeom>
                          <a:noFill/>
                          <a:ln w="9525">
                            <a:noFill/>
                            <a:miter lim="800000"/>
                            <a:headEnd/>
                            <a:tailEnd/>
                          </a:ln>
                        </pic:spPr>
                      </pic:pic>
                    </a:graphicData>
                  </a:graphic>
                </wp:inline>
              </w:drawing>
            </w:r>
          </w:p>
          <w:p w:rsidR="00745D4A" w:rsidRDefault="00745D4A" w:rsidP="008D7497">
            <w:pPr>
              <w:spacing w:line="300" w:lineRule="atLeast"/>
              <w:jc w:val="center"/>
              <w:rPr>
                <w:rFonts w:cs="Calibri"/>
                <w:b/>
                <w:sz w:val="20"/>
              </w:rPr>
            </w:pPr>
          </w:p>
          <w:p w:rsidR="00745D4A" w:rsidRPr="00745D4A" w:rsidRDefault="00745D4A" w:rsidP="00745D4A">
            <w:pPr>
              <w:spacing w:line="300" w:lineRule="atLeast"/>
              <w:jc w:val="center"/>
              <w:rPr>
                <w:rFonts w:cs="Calibri"/>
                <w:b/>
                <w:sz w:val="20"/>
                <w:lang w:val="en-GB"/>
              </w:rPr>
            </w:pPr>
            <w:r>
              <w:rPr>
                <w:rFonts w:cs="Calibri"/>
                <w:b/>
                <w:sz w:val="20"/>
              </w:rPr>
              <w:t>ΕΥΡΩΠΑЇΚΗ ΕΝΩΣΗ</w:t>
            </w:r>
            <w:bookmarkStart w:id="5" w:name="_Toc201465893"/>
            <w:bookmarkEnd w:id="4"/>
          </w:p>
          <w:p w:rsidR="00745D4A" w:rsidRDefault="00745D4A" w:rsidP="008D7497">
            <w:pPr>
              <w:spacing w:line="300" w:lineRule="atLeast"/>
              <w:jc w:val="center"/>
              <w:rPr>
                <w:rFonts w:cs="Calibri"/>
                <w:b/>
                <w:sz w:val="20"/>
              </w:rPr>
            </w:pPr>
            <w:r>
              <w:rPr>
                <w:rFonts w:cs="Calibri"/>
                <w:b/>
                <w:sz w:val="20"/>
              </w:rPr>
              <w:t>ΕΥΡΩΠΑЇΚΗ ΕΠΙΤΡΟΠΗ</w:t>
            </w:r>
            <w:bookmarkEnd w:id="5"/>
          </w:p>
          <w:p w:rsidR="00745D4A" w:rsidRDefault="00745D4A" w:rsidP="008D7497">
            <w:pPr>
              <w:spacing w:line="300" w:lineRule="atLeast"/>
              <w:jc w:val="center"/>
              <w:rPr>
                <w:rFonts w:cs="Calibri"/>
                <w:b/>
                <w:sz w:val="20"/>
              </w:rPr>
            </w:pPr>
            <w:bookmarkStart w:id="6" w:name="_Toc201465894"/>
            <w:r>
              <w:rPr>
                <w:rFonts w:cs="Calibri"/>
                <w:b/>
                <w:sz w:val="20"/>
              </w:rPr>
              <w:t>ΕΥΡΩΠΑЇΚΟ ΤΑΜΕΙΟ</w:t>
            </w:r>
            <w:bookmarkEnd w:id="6"/>
            <w:r>
              <w:rPr>
                <w:rFonts w:cs="Calibri"/>
                <w:b/>
                <w:sz w:val="20"/>
              </w:rPr>
              <w:t xml:space="preserve"> ΘΑΛΑΣΣΑΣ ΚΑΙ ΑΛΙΕΙΑΣ</w:t>
            </w:r>
          </w:p>
        </w:tc>
      </w:tr>
    </w:tbl>
    <w:p w:rsidR="00745D4A" w:rsidRDefault="00745D4A" w:rsidP="00745D4A">
      <w:pPr>
        <w:spacing w:line="300" w:lineRule="atLeast"/>
        <w:rPr>
          <w:rFonts w:cs="Calibri"/>
          <w:b/>
          <w:sz w:val="32"/>
          <w:lang w:val="en-GB"/>
        </w:rPr>
      </w:pPr>
    </w:p>
    <w:p w:rsidR="00745D4A" w:rsidRDefault="00745D4A" w:rsidP="00745D4A">
      <w:pPr>
        <w:spacing w:line="300" w:lineRule="atLeast"/>
        <w:jc w:val="center"/>
        <w:rPr>
          <w:rFonts w:cs="Calibri"/>
          <w:b/>
          <w:sz w:val="36"/>
        </w:rPr>
      </w:pPr>
      <w:bookmarkStart w:id="7" w:name="_Toc201465900"/>
      <w:r>
        <w:rPr>
          <w:rFonts w:cs="Calibri"/>
          <w:b/>
          <w:sz w:val="36"/>
        </w:rPr>
        <w:t>ΕΠΙΧΕΙΡΗΣΙΑΚΟ ΠΡΟΓΡΑΜΜΑ «ΘΑΛΑΣΣΑ» 2014 – 20</w:t>
      </w:r>
      <w:bookmarkEnd w:id="7"/>
      <w:r>
        <w:rPr>
          <w:rFonts w:cs="Calibri"/>
          <w:b/>
          <w:sz w:val="36"/>
        </w:rPr>
        <w:t>20</w:t>
      </w:r>
    </w:p>
    <w:p w:rsidR="00745D4A" w:rsidRDefault="00745D4A" w:rsidP="00745D4A">
      <w:pPr>
        <w:spacing w:line="300" w:lineRule="atLeast"/>
        <w:jc w:val="center"/>
        <w:rPr>
          <w:rFonts w:cs="Calibri"/>
          <w:b/>
          <w:sz w:val="28"/>
        </w:rPr>
      </w:pPr>
    </w:p>
    <w:p w:rsidR="00745D4A" w:rsidRDefault="00745D4A" w:rsidP="00745D4A">
      <w:pPr>
        <w:spacing w:line="300" w:lineRule="atLeast"/>
        <w:jc w:val="center"/>
        <w:rPr>
          <w:rFonts w:cs="Calibri"/>
          <w:b/>
          <w:sz w:val="28"/>
        </w:rPr>
      </w:pPr>
    </w:p>
    <w:p w:rsidR="00745D4A" w:rsidRDefault="00745D4A" w:rsidP="00745D4A">
      <w:pPr>
        <w:spacing w:line="300" w:lineRule="atLeast"/>
        <w:jc w:val="center"/>
        <w:rPr>
          <w:rFonts w:cs="Calibri"/>
          <w:b/>
          <w:sz w:val="28"/>
        </w:rPr>
      </w:pPr>
      <w:r>
        <w:rPr>
          <w:rFonts w:cs="Calibri"/>
          <w:b/>
          <w:sz w:val="28"/>
        </w:rPr>
        <w:t xml:space="preserve">Προτεραιότητα της Ένωσης 4: </w:t>
      </w:r>
    </w:p>
    <w:p w:rsidR="00745D4A" w:rsidRPr="00745D4A" w:rsidRDefault="00745D4A" w:rsidP="00745D4A">
      <w:pPr>
        <w:spacing w:line="300" w:lineRule="atLeast"/>
        <w:jc w:val="center"/>
        <w:rPr>
          <w:rFonts w:cs="Calibri"/>
          <w:b/>
          <w:sz w:val="28"/>
        </w:rPr>
      </w:pPr>
      <w:r>
        <w:rPr>
          <w:rFonts w:cs="Calibri"/>
          <w:b/>
          <w:sz w:val="28"/>
        </w:rPr>
        <w:t>Αύξηση της απασχόλησης και της εδαφικής συνοχής</w:t>
      </w:r>
    </w:p>
    <w:p w:rsidR="00745D4A" w:rsidRDefault="00745D4A" w:rsidP="00745D4A">
      <w:pPr>
        <w:spacing w:line="300" w:lineRule="atLeast"/>
        <w:rPr>
          <w:rFonts w:cs="Calibri"/>
          <w:b/>
          <w:sz w:val="32"/>
        </w:rPr>
      </w:pPr>
    </w:p>
    <w:p w:rsidR="00745D4A" w:rsidRPr="00745D4A" w:rsidRDefault="00745D4A" w:rsidP="00745D4A">
      <w:pPr>
        <w:spacing w:line="300" w:lineRule="atLeast"/>
        <w:rPr>
          <w:rFonts w:cs="Calibri"/>
          <w:b/>
          <w:sz w:val="32"/>
        </w:rPr>
      </w:pPr>
    </w:p>
    <w:p w:rsidR="00745D4A" w:rsidRPr="00696DAD" w:rsidRDefault="00696DAD"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r w:rsidRPr="00696DAD">
        <w:rPr>
          <w:rFonts w:cs="Calibri"/>
          <w:b/>
          <w:sz w:val="32"/>
        </w:rPr>
        <w:t>1</w:t>
      </w:r>
      <w:r w:rsidRPr="00696DAD">
        <w:rPr>
          <w:rFonts w:cs="Calibri"/>
          <w:b/>
          <w:sz w:val="32"/>
          <w:vertAlign w:val="superscript"/>
        </w:rPr>
        <w:t>η</w:t>
      </w:r>
      <w:r>
        <w:rPr>
          <w:rFonts w:cs="Calibri"/>
          <w:b/>
          <w:sz w:val="32"/>
        </w:rPr>
        <w:t xml:space="preserve"> Τροποποίηση της</w:t>
      </w:r>
    </w:p>
    <w:p w:rsidR="00745D4A" w:rsidRPr="00396FEE" w:rsidRDefault="00745D4A"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r w:rsidRPr="00396FEE">
        <w:rPr>
          <w:rFonts w:cs="Calibri"/>
          <w:b/>
          <w:sz w:val="32"/>
        </w:rPr>
        <w:t>ΠΡΟΣΚΛΗΣΗ</w:t>
      </w:r>
      <w:r w:rsidR="00696DAD">
        <w:rPr>
          <w:rFonts w:cs="Calibri"/>
          <w:b/>
          <w:sz w:val="32"/>
        </w:rPr>
        <w:t>Σ</w:t>
      </w:r>
      <w:r w:rsidRPr="00396FEE">
        <w:rPr>
          <w:rFonts w:cs="Calibri"/>
          <w:b/>
          <w:sz w:val="32"/>
        </w:rPr>
        <w:t xml:space="preserve"> ΥΠΟΒΟΛΗΣ ΠΡΟΤΑΣΕΩΝ </w:t>
      </w:r>
    </w:p>
    <w:p w:rsidR="00745D4A" w:rsidRPr="00396FEE" w:rsidRDefault="00745D4A"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r w:rsidRPr="00396FEE">
        <w:rPr>
          <w:rFonts w:cs="Calibri"/>
          <w:b/>
          <w:sz w:val="32"/>
        </w:rPr>
        <w:t>Αρ.</w:t>
      </w:r>
      <w:r>
        <w:rPr>
          <w:rFonts w:cs="Calibri"/>
          <w:b/>
          <w:sz w:val="32"/>
        </w:rPr>
        <w:t>03/</w:t>
      </w:r>
      <w:r w:rsidRPr="00396FEE">
        <w:rPr>
          <w:rFonts w:cs="Calibri"/>
          <w:b/>
          <w:sz w:val="32"/>
        </w:rPr>
        <w:t xml:space="preserve"> 4.1/</w:t>
      </w:r>
      <w:r>
        <w:rPr>
          <w:rFonts w:cs="Calibri"/>
          <w:b/>
          <w:sz w:val="32"/>
        </w:rPr>
        <w:t>4.1-4/01/</w:t>
      </w:r>
      <w:r w:rsidRPr="00745D4A">
        <w:rPr>
          <w:rFonts w:cs="Calibri"/>
          <w:b/>
          <w:sz w:val="32"/>
        </w:rPr>
        <w:t>06</w:t>
      </w:r>
      <w:r w:rsidRPr="00396FEE">
        <w:rPr>
          <w:rFonts w:cs="Calibri"/>
          <w:b/>
          <w:sz w:val="32"/>
        </w:rPr>
        <w:t>.201</w:t>
      </w:r>
      <w:r>
        <w:rPr>
          <w:rFonts w:cs="Calibri"/>
          <w:b/>
          <w:sz w:val="32"/>
        </w:rPr>
        <w:t>6</w:t>
      </w:r>
    </w:p>
    <w:p w:rsidR="00745D4A" w:rsidRPr="00396FEE" w:rsidRDefault="00745D4A"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bookmarkStart w:id="8" w:name="_Toc201465898"/>
    </w:p>
    <w:p w:rsidR="00745D4A" w:rsidRPr="00396FEE" w:rsidRDefault="00745D4A"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r w:rsidRPr="00396FEE">
        <w:rPr>
          <w:rFonts w:cs="Calibri"/>
          <w:b/>
          <w:sz w:val="32"/>
        </w:rPr>
        <w:t xml:space="preserve">ΓΙΑ </w:t>
      </w:r>
      <w:bookmarkEnd w:id="8"/>
      <w:r w:rsidRPr="00396FEE">
        <w:rPr>
          <w:rFonts w:cs="Calibri"/>
          <w:b/>
          <w:sz w:val="32"/>
        </w:rPr>
        <w:t xml:space="preserve">ΥΠΟΒΟΛΗ ΣΤΡΑΤΗΓΙΚΩΝ ΤΟΠΙΚΗΣ ΑΝΑΠΤΥΞΗΣ </w:t>
      </w:r>
    </w:p>
    <w:p w:rsidR="00745D4A" w:rsidRPr="00396FEE" w:rsidRDefault="00745D4A"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r w:rsidRPr="00396FEE">
        <w:rPr>
          <w:rFonts w:cs="Calibri"/>
          <w:b/>
          <w:sz w:val="32"/>
        </w:rPr>
        <w:t>ΑΠΟ «ΤΟΠΙΚΕΣ ΟΜΑΔΕΣ ΔΡΑΣΗΣ ΑΛΙΕΙΑΣ»</w:t>
      </w:r>
    </w:p>
    <w:p w:rsidR="00745D4A" w:rsidRPr="00396FEE" w:rsidRDefault="00745D4A"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bookmarkStart w:id="9" w:name="_Toc201465899"/>
      <w:r w:rsidRPr="00396FEE">
        <w:rPr>
          <w:rFonts w:cs="Calibri"/>
          <w:b/>
          <w:sz w:val="32"/>
        </w:rPr>
        <w:t xml:space="preserve">ΣΤΑ ΠΛΑΙΣΙΑ </w:t>
      </w:r>
      <w:bookmarkEnd w:id="9"/>
      <w:r w:rsidRPr="00396FEE">
        <w:rPr>
          <w:rFonts w:cs="Calibri"/>
          <w:b/>
          <w:sz w:val="32"/>
        </w:rPr>
        <w:t xml:space="preserve">ΤΗΣ ΥΠΟΣΤΗΡΙΞΗΣ ΤΗΣ ΤΟΠΙΚΗΣ ΑΝΑΠΤΥΞΗΣ </w:t>
      </w:r>
    </w:p>
    <w:p w:rsidR="00745D4A" w:rsidRPr="00745D4A" w:rsidRDefault="00745D4A" w:rsidP="00745D4A">
      <w:pPr>
        <w:pBdr>
          <w:top w:val="single" w:sz="4" w:space="1" w:color="auto"/>
          <w:left w:val="single" w:sz="4" w:space="4" w:color="auto"/>
          <w:bottom w:val="single" w:sz="4" w:space="1" w:color="auto"/>
          <w:right w:val="single" w:sz="4" w:space="4" w:color="auto"/>
        </w:pBdr>
        <w:shd w:val="clear" w:color="auto" w:fill="DBE5F1"/>
        <w:spacing w:line="300" w:lineRule="atLeast"/>
        <w:jc w:val="center"/>
        <w:rPr>
          <w:rFonts w:cs="Calibri"/>
          <w:b/>
          <w:sz w:val="32"/>
        </w:rPr>
      </w:pPr>
      <w:r w:rsidRPr="00396FEE">
        <w:rPr>
          <w:rFonts w:cs="Calibri"/>
          <w:b/>
          <w:sz w:val="32"/>
        </w:rPr>
        <w:t>ΜΕ ΤΗΝ ΠΡΩΤΟΒΟΥΛΙΑ ΤΟΠΙΚΩΝ ΚΟΙΝΟΤΗΤΩΝ</w:t>
      </w:r>
    </w:p>
    <w:p w:rsidR="00745D4A" w:rsidRPr="00745D4A" w:rsidRDefault="00745D4A" w:rsidP="00745D4A">
      <w:pPr>
        <w:spacing w:line="300" w:lineRule="atLeast"/>
        <w:rPr>
          <w:rFonts w:cs="Calibri"/>
          <w:b/>
          <w:sz w:val="32"/>
        </w:rPr>
      </w:pPr>
    </w:p>
    <w:p w:rsidR="00862BE9" w:rsidRDefault="00862BE9" w:rsidP="00862BE9"/>
    <w:p w:rsidR="00745D4A" w:rsidRDefault="00A80A3A" w:rsidP="00862BE9">
      <w:r>
        <w:rPr>
          <w:noProof/>
          <w:lang w:val="en-US"/>
        </w:rPr>
        <w:drawing>
          <wp:anchor distT="0" distB="0" distL="114300" distR="114300" simplePos="0" relativeHeight="251657728" behindDoc="0" locked="0" layoutInCell="1" allowOverlap="1">
            <wp:simplePos x="0" y="0"/>
            <wp:positionH relativeFrom="column">
              <wp:posOffset>2410460</wp:posOffset>
            </wp:positionH>
            <wp:positionV relativeFrom="paragraph">
              <wp:posOffset>154305</wp:posOffset>
            </wp:positionV>
            <wp:extent cx="1332230" cy="572770"/>
            <wp:effectExtent l="19050" t="0" r="1270" b="0"/>
            <wp:wrapSquare wrapText="bothSides"/>
            <wp:docPr id="3" name="Picture 2"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LASSA-LOGO-CMYK"/>
                    <pic:cNvPicPr>
                      <a:picLocks noChangeAspect="1" noChangeArrowheads="1"/>
                    </pic:cNvPicPr>
                  </pic:nvPicPr>
                  <pic:blipFill>
                    <a:blip r:embed="rId10" cstate="print"/>
                    <a:srcRect/>
                    <a:stretch>
                      <a:fillRect/>
                    </a:stretch>
                  </pic:blipFill>
                  <pic:spPr bwMode="auto">
                    <a:xfrm>
                      <a:off x="0" y="0"/>
                      <a:ext cx="1332230" cy="572770"/>
                    </a:xfrm>
                    <a:prstGeom prst="rect">
                      <a:avLst/>
                    </a:prstGeom>
                    <a:noFill/>
                    <a:ln w="9525">
                      <a:noFill/>
                      <a:miter lim="800000"/>
                      <a:headEnd/>
                      <a:tailEnd/>
                    </a:ln>
                  </pic:spPr>
                </pic:pic>
              </a:graphicData>
            </a:graphic>
          </wp:anchor>
        </w:drawing>
      </w:r>
    </w:p>
    <w:p w:rsidR="00745D4A" w:rsidRDefault="00745D4A" w:rsidP="00862BE9"/>
    <w:p w:rsidR="00745D4A" w:rsidRDefault="00745D4A" w:rsidP="00862BE9"/>
    <w:p w:rsidR="00745D4A" w:rsidRDefault="00745D4A" w:rsidP="00862BE9"/>
    <w:p w:rsidR="00745D4A" w:rsidRDefault="00745D4A" w:rsidP="00862BE9"/>
    <w:p w:rsidR="00745D4A" w:rsidRDefault="00745D4A" w:rsidP="00862BE9"/>
    <w:p w:rsidR="00745D4A" w:rsidRDefault="00745D4A" w:rsidP="00862BE9"/>
    <w:p w:rsidR="00745D4A" w:rsidRDefault="00745D4A" w:rsidP="00862BE9"/>
    <w:p w:rsidR="00745D4A" w:rsidRDefault="00745D4A" w:rsidP="00745D4A">
      <w:pPr>
        <w:spacing w:line="300" w:lineRule="atLeast"/>
        <w:jc w:val="both"/>
        <w:rPr>
          <w:rFonts w:cs="Calibri"/>
          <w:b/>
          <w:i/>
        </w:rPr>
      </w:pPr>
      <w:r>
        <w:rPr>
          <w:rFonts w:cs="Calibri"/>
          <w:i/>
        </w:rPr>
        <w:t>Η Προτεραιότητα της Ένωσης 4 του Επιχειρησιακού Προγράμματος «ΘΑΛΑΣΣΑ» 2014–2020  συγχρηματοδοτείται από το Ευρωπαϊκό Ταμείο Θάλασσας και Αλιείας (ΕΤΘΑ) της ΕΕ κατά 75%.</w:t>
      </w:r>
    </w:p>
    <w:p w:rsidR="00745D4A" w:rsidRDefault="00745D4A" w:rsidP="00862BE9"/>
    <w:p w:rsidR="00745D4A" w:rsidRDefault="00745D4A" w:rsidP="00862BE9"/>
    <w:p w:rsidR="00745D4A" w:rsidRDefault="00745D4A" w:rsidP="00862BE9"/>
    <w:p w:rsidR="00745D4A" w:rsidRDefault="00745D4A" w:rsidP="00862BE9"/>
    <w:p w:rsidR="00745D4A" w:rsidRPr="0005010D" w:rsidRDefault="00745D4A" w:rsidP="00745D4A">
      <w:pPr>
        <w:spacing w:line="300" w:lineRule="atLeast"/>
        <w:jc w:val="center"/>
        <w:outlineLvl w:val="0"/>
        <w:rPr>
          <w:rFonts w:cs="Calibri"/>
          <w:b/>
        </w:rPr>
        <w:sectPr w:rsidR="00745D4A" w:rsidRPr="0005010D">
          <w:footerReference w:type="default" r:id="rId11"/>
          <w:footerReference w:type="first" r:id="rId12"/>
          <w:pgSz w:w="11906" w:h="16838"/>
          <w:pgMar w:top="1134" w:right="1134" w:bottom="1134" w:left="1134" w:header="706" w:footer="706" w:gutter="0"/>
          <w:cols w:space="720"/>
        </w:sectPr>
      </w:pPr>
      <w:bookmarkStart w:id="10" w:name="_Toc393191991"/>
      <w:r w:rsidRPr="00B65A26">
        <w:rPr>
          <w:rFonts w:cs="Calibri"/>
          <w:b/>
        </w:rPr>
        <w:t>Ιού</w:t>
      </w:r>
      <w:r>
        <w:rPr>
          <w:rFonts w:cs="Calibri"/>
          <w:b/>
        </w:rPr>
        <w:t>λ</w:t>
      </w:r>
      <w:r w:rsidRPr="00B65A26">
        <w:rPr>
          <w:rFonts w:cs="Calibri"/>
          <w:b/>
        </w:rPr>
        <w:t>ιος  201</w:t>
      </w:r>
      <w:bookmarkEnd w:id="10"/>
      <w:r>
        <w:rPr>
          <w:rFonts w:cs="Calibri"/>
          <w:b/>
        </w:rPr>
        <w:t>6</w:t>
      </w:r>
    </w:p>
    <w:p w:rsidR="00696DAD" w:rsidRDefault="00696DAD" w:rsidP="00696DAD">
      <w:pPr>
        <w:tabs>
          <w:tab w:val="left" w:pos="3555"/>
          <w:tab w:val="center" w:pos="6420"/>
        </w:tabs>
        <w:spacing w:line="300" w:lineRule="atLeast"/>
        <w:jc w:val="both"/>
      </w:pPr>
      <w:r>
        <w:lastRenderedPageBreak/>
        <w:t xml:space="preserve">Η Πρόσκληση υποβολής προτάσεων </w:t>
      </w:r>
      <w:r w:rsidRPr="00862BE9">
        <w:rPr>
          <w:rFonts w:cs="Calibri"/>
          <w:b/>
        </w:rPr>
        <w:t xml:space="preserve">Αρ. 03/4.1/4.1-4/01/06.2016 </w:t>
      </w:r>
      <w:r>
        <w:t>τροποποιείται ως ακολούθως</w:t>
      </w:r>
    </w:p>
    <w:p w:rsidR="00696DAD" w:rsidRDefault="00696DAD" w:rsidP="00696DAD">
      <w:pPr>
        <w:jc w:val="both"/>
      </w:pPr>
    </w:p>
    <w:p w:rsidR="00696DAD" w:rsidRDefault="00696DAD" w:rsidP="00696DAD">
      <w:pPr>
        <w:pStyle w:val="ListParagraph"/>
        <w:numPr>
          <w:ilvl w:val="0"/>
          <w:numId w:val="1"/>
        </w:numPr>
        <w:jc w:val="both"/>
      </w:pPr>
      <w:r>
        <w:t xml:space="preserve">Στο </w:t>
      </w:r>
      <w:r w:rsidRPr="003D0454">
        <w:rPr>
          <w:b/>
        </w:rPr>
        <w:t>κεφάλαιο 2.7.2.</w:t>
      </w:r>
      <w:r>
        <w:t xml:space="preserve"> </w:t>
      </w:r>
      <w:r>
        <w:rPr>
          <w:b/>
        </w:rPr>
        <w:t>Κριτήρια επιλογής της ΤΟΔΑ</w:t>
      </w:r>
      <w:r>
        <w:t>, το σημείο 10 αντικαθίσταται με το ακόλουθο σημείο 10:</w:t>
      </w:r>
    </w:p>
    <w:p w:rsidR="00696DAD" w:rsidRDefault="00696DAD" w:rsidP="00696DAD">
      <w:pPr>
        <w:pStyle w:val="ListParagraph"/>
        <w:jc w:val="both"/>
        <w:rPr>
          <w:bCs/>
        </w:rPr>
      </w:pPr>
      <w:r>
        <w:t>«</w:t>
      </w:r>
      <w:r>
        <w:rPr>
          <w:bCs/>
        </w:rPr>
        <w:t xml:space="preserve">Οι ΤΟΔΑ διασφαλίζουν σημαντική εκπροσώπηση των τομέων της αλιείας ή/και υδατοκαλλιέργειας σύμφωνα με το άρθρο 61, παράγραφος 3, στοιχείο β) του Κανονισμού (ΕΕ) 508/2014, ενώ οι συλλογικοί φορείς των επαγγελματιών αλιέων, υδατοκαλλιεργητών ή άλλων συναφή με τον αλιευτικό τομέα φορέων θα πρέπει να ανέρχονται σε ποσοστό τουλάχιστον 20% σε επίπεδο λήψης απόφασης, ώστε να εκπροσωπούν επαρκώς τα συμφέροντα του αλιευτικού τομέα της περιοχής παρέμβασης». </w:t>
      </w:r>
    </w:p>
    <w:p w:rsidR="00696DAD" w:rsidRDefault="00696DAD" w:rsidP="00696DAD">
      <w:pPr>
        <w:pStyle w:val="ListParagraph"/>
        <w:jc w:val="both"/>
      </w:pPr>
      <w:r>
        <w:rPr>
          <w:bCs/>
        </w:rPr>
        <w:t>  </w:t>
      </w:r>
    </w:p>
    <w:p w:rsidR="00696DAD" w:rsidRPr="003D0454" w:rsidRDefault="00696DAD" w:rsidP="00696DAD">
      <w:pPr>
        <w:pStyle w:val="ListParagraph"/>
        <w:numPr>
          <w:ilvl w:val="0"/>
          <w:numId w:val="1"/>
        </w:numPr>
        <w:jc w:val="both"/>
      </w:pPr>
      <w:r>
        <w:t xml:space="preserve">Στο </w:t>
      </w:r>
      <w:r w:rsidRPr="003D0454">
        <w:rPr>
          <w:b/>
        </w:rPr>
        <w:t>κεφάλαιο 2.7.3. Κριτήρια Αξιολόγησης της Στρατηγικής</w:t>
      </w:r>
      <w:r>
        <w:rPr>
          <w:b/>
        </w:rPr>
        <w:t xml:space="preserve">, </w:t>
      </w:r>
      <w:r w:rsidRPr="003D0454">
        <w:t>η πρώτη παράγραφος αντικαθίσταται ως ακολούθως:</w:t>
      </w:r>
    </w:p>
    <w:p w:rsidR="00696DAD" w:rsidRPr="003D0454" w:rsidRDefault="00696DAD" w:rsidP="00696DAD">
      <w:pPr>
        <w:pStyle w:val="ListParagraph"/>
        <w:jc w:val="both"/>
      </w:pPr>
    </w:p>
    <w:p w:rsidR="00696DAD" w:rsidRPr="00C215A1" w:rsidRDefault="00696DAD" w:rsidP="00696DAD">
      <w:pPr>
        <w:pStyle w:val="ListParagraph"/>
        <w:jc w:val="both"/>
        <w:rPr>
          <w:b/>
        </w:rPr>
      </w:pPr>
      <w:r w:rsidRPr="00C215A1">
        <w:t>«</w:t>
      </w:r>
      <w:r>
        <w:t>Η επιλογή των στρατηγικών τοπικής ανάπτυξης γίνεται σε ανταγωνιστική βάση και στηρίζεται στην αξιολόγηση της υποβαλλόμενης πρότασης, καθώς και στην αξιολόγηση της αξιοπιστίας του υποψήφιου φορέα υλοποίησης (υποψήφιας ΤΟΔΑ). Η αξιολόγηση γίνεται από τριμελής Επιτροπή Αξιολόγησης η οποία ορίζεται από την Διαχειριστική Αρχή και αποτελείται από στελέχη του Ενδιάμεσου Φορέα. Τα αποτελέσματα της Επιτροπής Αξιολόγησης υποβάλλονται για έγκριση στη Διευθύντρια του ΤΑΘΕ, και ακολούθως στη Διαχειριστική Αρχή για</w:t>
      </w:r>
      <w:r w:rsidRPr="003D0454">
        <w:t xml:space="preserve"> </w:t>
      </w:r>
      <w:r>
        <w:t>τελική απόφαση έγκρισης των στρατηγικών τοπικής ανάπτυξης. Η απόφαση έγκρισης περιλαμβάνει επίσης τη «Συμφωνία ΕΦ-ΤΟΔΑ» η οποία υπογράφεται από την ΤΟΔΑ και το ΤΑΘΕ</w:t>
      </w:r>
      <w:r w:rsidRPr="00C215A1">
        <w:t>».</w:t>
      </w:r>
    </w:p>
    <w:p w:rsidR="00696DAD" w:rsidRDefault="00696DAD" w:rsidP="00696DAD">
      <w:pPr>
        <w:pStyle w:val="ListParagraph"/>
        <w:jc w:val="both"/>
      </w:pPr>
    </w:p>
    <w:p w:rsidR="00696DAD" w:rsidRDefault="00696DAD" w:rsidP="00696DAD">
      <w:pPr>
        <w:pStyle w:val="ListParagraph"/>
        <w:numPr>
          <w:ilvl w:val="0"/>
          <w:numId w:val="1"/>
        </w:numPr>
        <w:jc w:val="both"/>
      </w:pPr>
      <w:r>
        <w:t xml:space="preserve">Στο </w:t>
      </w:r>
      <w:r w:rsidRPr="003D0454">
        <w:rPr>
          <w:b/>
        </w:rPr>
        <w:t>κεφάλαιο 7.1</w:t>
      </w:r>
      <w:r>
        <w:t xml:space="preserve"> – </w:t>
      </w:r>
      <w:r w:rsidRPr="004D39DC">
        <w:rPr>
          <w:b/>
        </w:rPr>
        <w:t>Γενικά</w:t>
      </w:r>
      <w:r>
        <w:t xml:space="preserve"> η δεύτερη παράγραφος αντικαθίσταται ως ακολούθως:</w:t>
      </w:r>
    </w:p>
    <w:p w:rsidR="00696DAD" w:rsidRDefault="00696DAD" w:rsidP="00696DAD">
      <w:pPr>
        <w:pStyle w:val="ListParagraph"/>
        <w:jc w:val="both"/>
      </w:pPr>
    </w:p>
    <w:p w:rsidR="00696DAD" w:rsidRPr="00191971" w:rsidRDefault="00696DAD" w:rsidP="00696DAD">
      <w:pPr>
        <w:pStyle w:val="ListParagraph"/>
        <w:jc w:val="both"/>
      </w:pPr>
      <w:r>
        <w:t>«Η αξιολόγηση των προτάσεων γίνεται από τριμελής Επιτροπή Αξιολόγησης η οποία ορίζεται από την Διαχειριστική Αρχή και αποτελείται από στελέχη του Ενδιάμεσου Φορέα (σχετική αναφορά γίνεται και στην παράγραφο 2.7.3), η οποία θα προβεί και στη βαθμολόγηση των προτάσεων»</w:t>
      </w:r>
      <w:r w:rsidRPr="00191971">
        <w:t>.</w:t>
      </w:r>
    </w:p>
    <w:p w:rsidR="00696DAD" w:rsidRDefault="00696DAD" w:rsidP="00696DAD">
      <w:pPr>
        <w:pStyle w:val="ListParagraph"/>
        <w:jc w:val="both"/>
      </w:pPr>
    </w:p>
    <w:p w:rsidR="00696DAD" w:rsidRDefault="00696DAD" w:rsidP="00696DAD">
      <w:pPr>
        <w:pStyle w:val="ListParagraph"/>
        <w:numPr>
          <w:ilvl w:val="0"/>
          <w:numId w:val="1"/>
        </w:numPr>
        <w:jc w:val="both"/>
      </w:pPr>
      <w:r>
        <w:t xml:space="preserve">Στο </w:t>
      </w:r>
      <w:r w:rsidRPr="00257B6B">
        <w:rPr>
          <w:b/>
        </w:rPr>
        <w:t>κεφάλαιο</w:t>
      </w:r>
      <w:r>
        <w:t xml:space="preserve"> </w:t>
      </w:r>
      <w:r>
        <w:rPr>
          <w:b/>
        </w:rPr>
        <w:t>7.2 Φάση 1 – Έλεγχος Ελάχιστων Απαιτούμενων Κριτηρίων, ΚΑΤΗΓΟΡΙΑ Γ.</w:t>
      </w:r>
      <w:r>
        <w:t xml:space="preserve"> </w:t>
      </w:r>
      <w:r>
        <w:rPr>
          <w:b/>
        </w:rPr>
        <w:t>Κριτήρια που αφορούν την υποψήφια ΤΟΔΑ</w:t>
      </w:r>
      <w:r>
        <w:t>, το κριτήριο Γ7  αντικαθίσταται με το ακόλουθο κριτήριο Γ7 :</w:t>
      </w:r>
    </w:p>
    <w:p w:rsidR="00696DAD" w:rsidRPr="00191971" w:rsidRDefault="00696DAD" w:rsidP="00696DAD">
      <w:pPr>
        <w:pStyle w:val="ListParagraph"/>
        <w:jc w:val="both"/>
        <w:rPr>
          <w:bCs/>
        </w:rPr>
      </w:pPr>
      <w:r>
        <w:t>«</w:t>
      </w:r>
      <w:r>
        <w:rPr>
          <w:bCs/>
        </w:rPr>
        <w:t>Οι ΤΟΔΑ διασφαλίζουν σημαντική εκπροσώπηση των τομέων της αλιείας ή/και υδατοκαλλιέργειας σύμφωνα με το άρθρο 61, παράγραφος 3, στοιχείο β) του Κανονισμού (ΕΕ) 508/2014, ενώ οι συλλογικοί φορείς των επαγγελματιών αλιέων, υδατοκαλλιεργητών ή άλλων συναφή με τον αλιευτικό τομέα φορέων θα πρέπει να ανέρχονται σε ποσοστό τουλάχιστον 20% σε επίπεδο λήψης απόφασης, ώστε να εκπροσωπούν επαρκώς τα συμφέροντα του αλιευτικού τομέα της περιοχής παρέμβασης»</w:t>
      </w:r>
      <w:r w:rsidRPr="00191971">
        <w:rPr>
          <w:bCs/>
        </w:rPr>
        <w:t>.</w:t>
      </w:r>
    </w:p>
    <w:p w:rsidR="00696DAD" w:rsidRDefault="00696DAD" w:rsidP="00696DAD">
      <w:pPr>
        <w:pStyle w:val="ListParagraph"/>
        <w:jc w:val="both"/>
      </w:pPr>
    </w:p>
    <w:p w:rsidR="00696DAD" w:rsidRDefault="00696DAD" w:rsidP="00696DAD">
      <w:pPr>
        <w:pStyle w:val="ListParagraph"/>
        <w:numPr>
          <w:ilvl w:val="0"/>
          <w:numId w:val="1"/>
        </w:numPr>
        <w:jc w:val="both"/>
      </w:pPr>
      <w:r>
        <w:t xml:space="preserve">Στο </w:t>
      </w:r>
      <w:r w:rsidRPr="003D0454">
        <w:rPr>
          <w:b/>
        </w:rPr>
        <w:t>κεφάλαιο 7.4</w:t>
      </w:r>
      <w:r>
        <w:rPr>
          <w:b/>
        </w:rPr>
        <w:t>. Διαδικασία Αξιολόγησης Προτάσεων</w:t>
      </w:r>
      <w:r>
        <w:t>, η δεύτερη παράγραφος αντικαθίσταται ως ακολούθως:</w:t>
      </w:r>
    </w:p>
    <w:p w:rsidR="00696DAD" w:rsidRDefault="00696DAD" w:rsidP="00696DAD">
      <w:pPr>
        <w:pStyle w:val="ListParagraph"/>
        <w:jc w:val="both"/>
      </w:pPr>
    </w:p>
    <w:p w:rsidR="00696DAD" w:rsidRPr="00191971" w:rsidRDefault="00696DAD" w:rsidP="00696DAD">
      <w:pPr>
        <w:pStyle w:val="ListParagraph"/>
        <w:jc w:val="both"/>
      </w:pPr>
      <w:r>
        <w:t>«Αποδεκτές γίνονται όσες προτάσεις πληρούν όλα τα ελάχιστα απαιτούμενα κριτήρια (ΝΑΙ/ΟΧΙ). Στις περιπτώσεις απόρριψης προτάσεων, και μετά την τελική απόφαση έγκρισης των στρατηγικών από τη Διαχειριστική Αρχή</w:t>
      </w:r>
      <w:r w:rsidRPr="00191971">
        <w:t>,</w:t>
      </w:r>
      <w:r>
        <w:t xml:space="preserve"> ο ΕΦ ενημερώνει </w:t>
      </w:r>
      <w:r>
        <w:lastRenderedPageBreak/>
        <w:t>τόσο τους επιτυχόντες αιτητές όσο και τους αιτητές που απορρίφθηκαν με αναλυτική αιτιολογία για τους λόγους απόρριψης της αίτησης»</w:t>
      </w:r>
      <w:r w:rsidRPr="00191971">
        <w:t>.</w:t>
      </w:r>
    </w:p>
    <w:p w:rsidR="00696DAD" w:rsidRDefault="00696DAD" w:rsidP="00696DAD">
      <w:pPr>
        <w:pStyle w:val="ListParagraph"/>
        <w:jc w:val="both"/>
      </w:pPr>
    </w:p>
    <w:p w:rsidR="00696DAD" w:rsidRPr="00B22002" w:rsidRDefault="00696DAD" w:rsidP="00696DAD">
      <w:pPr>
        <w:pStyle w:val="ListParagraph"/>
        <w:numPr>
          <w:ilvl w:val="0"/>
          <w:numId w:val="1"/>
        </w:numPr>
        <w:jc w:val="both"/>
      </w:pPr>
      <w:r>
        <w:t xml:space="preserve">Στο </w:t>
      </w:r>
      <w:r w:rsidRPr="003D0454">
        <w:rPr>
          <w:b/>
        </w:rPr>
        <w:t>κεφάλαιο 7.4</w:t>
      </w:r>
      <w:r>
        <w:rPr>
          <w:b/>
        </w:rPr>
        <w:t>. Διαδικασία Αξιολόγησης Προτάσεων</w:t>
      </w:r>
      <w:r>
        <w:t>, η τελευταία παράγραφος αντικαθίσταται ως ακολούθως:</w:t>
      </w:r>
    </w:p>
    <w:p w:rsidR="00696DAD" w:rsidRDefault="00696DAD" w:rsidP="00696DAD">
      <w:pPr>
        <w:pStyle w:val="ListParagraph"/>
        <w:jc w:val="both"/>
      </w:pPr>
    </w:p>
    <w:p w:rsidR="00696DAD" w:rsidRPr="00191971" w:rsidRDefault="00696DAD" w:rsidP="00696DAD">
      <w:pPr>
        <w:pStyle w:val="ListParagraph"/>
        <w:jc w:val="both"/>
      </w:pPr>
      <w:r>
        <w:t>«Η Επιτροπή Αξιολόγησης, μετά την ολοκλήρωση της βαθμολόγησης των προτάσεων, συντάσσει πρακτικό με την τελική κατάταξη των προτάσεων που υποβλήθηκαν στην πρόσκληση κατά φθίνουσα σειρά και η κατάταξη αυτή προωθείται στη Διευθύντρια του ΤΑΘΕ για έγκριση και στη συνέχεια στη Διαχειριστική Αρχή για τελική έγκριση»</w:t>
      </w:r>
      <w:r w:rsidRPr="00191971">
        <w:t>.</w:t>
      </w:r>
    </w:p>
    <w:p w:rsidR="00696DAD" w:rsidRDefault="00696DAD" w:rsidP="00696DAD">
      <w:pPr>
        <w:pStyle w:val="ListParagraph"/>
        <w:jc w:val="both"/>
      </w:pPr>
    </w:p>
    <w:p w:rsidR="00696DAD" w:rsidRDefault="00696DAD" w:rsidP="00696DAD">
      <w:pPr>
        <w:pStyle w:val="ListParagraph"/>
        <w:numPr>
          <w:ilvl w:val="0"/>
          <w:numId w:val="1"/>
        </w:numPr>
        <w:jc w:val="both"/>
      </w:pPr>
      <w:r>
        <w:t xml:space="preserve">Στο </w:t>
      </w:r>
      <w:r w:rsidRPr="003D0454">
        <w:rPr>
          <w:b/>
        </w:rPr>
        <w:t xml:space="preserve">κεφάλαιο </w:t>
      </w:r>
      <w:r>
        <w:rPr>
          <w:b/>
        </w:rPr>
        <w:t>7.5 Ενστάσεις</w:t>
      </w:r>
      <w:r>
        <w:t>, η πρώτη παράγραφος αντικαθίσταται ως ακολούθως:</w:t>
      </w:r>
    </w:p>
    <w:p w:rsidR="00696DAD" w:rsidRDefault="00696DAD" w:rsidP="00696DAD">
      <w:pPr>
        <w:pStyle w:val="ListParagraph"/>
        <w:jc w:val="both"/>
      </w:pPr>
      <w:r>
        <w:t xml:space="preserve">«Οι αιτητές των οποίων οι προτάσεις απορρίπτονται για χρηματοδότηση έχουν δικαίωμα υποβολής ενστάσεων εντός δεκαπέντε (15) εργάσιμων ημερών από την ημερομηνία της γνωστοποίησης των αποτελεσμάτων. Οι ενστάσεις θα πρέπει να υποβάλλονται γραπτώς στα γραφεία  του Ενδιάμεσου Φορέα ή να αποστέλλονται ταχυδρομικώς με διπλοσυστημένη επιστολή στον Ενδιάμεσο Φορέα ζητώντας επανεξέταση της αίτησης τους και παραθέτοντας τους συγκεκριμένους λόγους για τους οποίους πιστεύουν ότι η πρόταση τους δεν έπρεπε να απορριφθεί. Σε περίπτωση θετικής εξέτασης της εν λόγω ένστασης, η πρόταση μπαίνει στην αντίστοιχη θέση της σειράς κατάταξης και επαναυποβάλλεται στη Διαχειριστική Αρχή για τελική έγκριση. </w:t>
      </w:r>
    </w:p>
    <w:p w:rsidR="00696DAD" w:rsidRDefault="00696DAD" w:rsidP="00696DAD">
      <w:pPr>
        <w:jc w:val="both"/>
      </w:pPr>
    </w:p>
    <w:p w:rsidR="00696DAD" w:rsidRDefault="00696DAD" w:rsidP="00696DAD">
      <w:pPr>
        <w:pStyle w:val="ListParagraph"/>
        <w:numPr>
          <w:ilvl w:val="0"/>
          <w:numId w:val="1"/>
        </w:numPr>
        <w:jc w:val="both"/>
      </w:pPr>
      <w:r>
        <w:t xml:space="preserve">Στο </w:t>
      </w:r>
      <w:r w:rsidRPr="003D0454">
        <w:rPr>
          <w:b/>
        </w:rPr>
        <w:t xml:space="preserve">κεφάλαιο </w:t>
      </w:r>
      <w:r w:rsidRPr="00862BE9">
        <w:t xml:space="preserve">8 </w:t>
      </w:r>
      <w:r>
        <w:rPr>
          <w:b/>
        </w:rPr>
        <w:t>-</w:t>
      </w:r>
      <w:r w:rsidRPr="00862BE9">
        <w:rPr>
          <w:b/>
        </w:rPr>
        <w:t xml:space="preserve"> Έγκριση ΤΟΔΑ και των Στρατηγικών</w:t>
      </w:r>
      <w:r>
        <w:rPr>
          <w:b/>
        </w:rPr>
        <w:t xml:space="preserve"> Τοπικής ανάπτυξ</w:t>
      </w:r>
      <w:r w:rsidRPr="00862BE9">
        <w:rPr>
          <w:b/>
        </w:rPr>
        <w:t>ης</w:t>
      </w:r>
      <w:r>
        <w:rPr>
          <w:b/>
        </w:rPr>
        <w:t xml:space="preserve">, </w:t>
      </w:r>
      <w:r w:rsidRPr="00862BE9">
        <w:t>η πρώτη παράγραφος αντικαθίσταται ως ακολούθως:</w:t>
      </w:r>
    </w:p>
    <w:p w:rsidR="00696DAD" w:rsidRPr="00862BE9" w:rsidRDefault="00696DAD" w:rsidP="00696DAD">
      <w:pPr>
        <w:pStyle w:val="ListParagraph"/>
        <w:jc w:val="both"/>
      </w:pPr>
    </w:p>
    <w:p w:rsidR="00696DAD" w:rsidRPr="00C215A1" w:rsidRDefault="00696DAD" w:rsidP="00696DAD">
      <w:pPr>
        <w:ind w:left="720"/>
        <w:jc w:val="both"/>
        <w:rPr>
          <w:b/>
        </w:rPr>
      </w:pPr>
      <w:r w:rsidRPr="00C215A1">
        <w:t>«</w:t>
      </w:r>
      <w:r>
        <w:t>Η επιλογή των στρατηγικών τοπικής ανάπτυξης γίνεται σε ανταγωνιστική βάση και στηρίζεται στην αξιολόγηση της υποβαλλόμενης πρότασης, καθώς και στην αξιολόγηση της αξιοπιστίας του υποψήφιου φορέα υλοποίησης (υποψήφιας ΤΟΔΑ). Η αξιολόγηση γίνεται από τριμελής Επιτροπή Αξιολόγησης η οποία ορίζεται από την Διαχειριστική Αρχή και αποτελείται στελέχη του Ενδιάμεσου Φορέα. Τα αποτελέσματα της Επιτροπής Αξιολόγησης υποβάλλονται για έγκριση στη Διευθύντρια του ΤΑΘΕ, και ακολούθως στη Διαχειριστική Αρχή για</w:t>
      </w:r>
      <w:r w:rsidRPr="003D0454">
        <w:t xml:space="preserve"> </w:t>
      </w:r>
      <w:r>
        <w:t>τελική απόφαση έγκρισης των στρατηγικών τοπικής ανάπτυξης. Η απόφαση έγκρισης περιλαμβάνει επίσης τη «Συμφωνία ΕΦ-ΤΟΔΑ» η οποία υπογράφεται από την ΤΟΔΑ και το ΤΑΘΕ</w:t>
      </w:r>
      <w:r w:rsidRPr="00C215A1">
        <w:t>».</w:t>
      </w:r>
    </w:p>
    <w:p w:rsidR="00696DAD" w:rsidRDefault="00696DAD" w:rsidP="00696DAD">
      <w:pPr>
        <w:pStyle w:val="ListParagraph"/>
        <w:jc w:val="both"/>
      </w:pPr>
    </w:p>
    <w:p w:rsidR="00696DAD" w:rsidRDefault="00696DAD" w:rsidP="00696DAD">
      <w:pPr>
        <w:pStyle w:val="ListParagraph"/>
        <w:numPr>
          <w:ilvl w:val="0"/>
          <w:numId w:val="1"/>
        </w:numPr>
        <w:jc w:val="both"/>
      </w:pPr>
      <w:r>
        <w:t>Στο έντυπο 2 –</w:t>
      </w:r>
      <w:r w:rsidRPr="00862BE9">
        <w:rPr>
          <w:b/>
        </w:rPr>
        <w:t xml:space="preserve"> Φάση 1- έλεγχος ελάχιστ</w:t>
      </w:r>
      <w:r>
        <w:rPr>
          <w:b/>
        </w:rPr>
        <w:t>ω</w:t>
      </w:r>
      <w:r w:rsidRPr="00862BE9">
        <w:rPr>
          <w:b/>
        </w:rPr>
        <w:t>ν απαιτούμενων Κριτηρίων</w:t>
      </w:r>
      <w:r>
        <w:t>, το κριτήριο Γ7  αντικαθίσταται με το ακόλουθο κριτήριο Γ7 :</w:t>
      </w:r>
    </w:p>
    <w:p w:rsidR="00696DAD" w:rsidRPr="00191971" w:rsidRDefault="00696DAD" w:rsidP="00696DAD">
      <w:pPr>
        <w:pStyle w:val="ListParagraph"/>
        <w:jc w:val="both"/>
        <w:rPr>
          <w:bCs/>
        </w:rPr>
      </w:pPr>
      <w:r>
        <w:t>«</w:t>
      </w:r>
      <w:r>
        <w:rPr>
          <w:bCs/>
        </w:rPr>
        <w:t>Οι ΤΟΔΑ διασφαλίζουν σημαντική εκπροσώπηση των τομέων της αλιείας ή/και υδατοκαλλιέργειας σύμφωνα με το άρθρο 61, παράγραφος 3, στοιχείο β) του Κανονισμού (ΕΕ) 508/2014, ενώ οι συλλογικοί φορείς των επαγγελματιών αλιέων, υδατοκαλλιεργητών ή άλλων συναφή με τον αλιευτικό τομέα φορέων θα πρέπει να ανέρχονται σε ποσοστό τουλάχιστον 20% σε επίπεδο λήψης απόφασης, ώστε να εκπροσωπούν επαρκώς τα συμφέροντα του αλιευτικού τομέα της περιοχής παρέμβασης»</w:t>
      </w:r>
      <w:r w:rsidRPr="00191971">
        <w:rPr>
          <w:bCs/>
        </w:rPr>
        <w:t>.</w:t>
      </w:r>
    </w:p>
    <w:p w:rsidR="00696DAD" w:rsidRDefault="00696DAD" w:rsidP="00696DAD">
      <w:pPr>
        <w:pStyle w:val="ListParagraph"/>
        <w:jc w:val="both"/>
      </w:pPr>
    </w:p>
    <w:p w:rsidR="00696DAD" w:rsidRDefault="00696DAD" w:rsidP="00696DAD">
      <w:pPr>
        <w:pStyle w:val="ListParagraph"/>
        <w:numPr>
          <w:ilvl w:val="0"/>
          <w:numId w:val="1"/>
        </w:numPr>
        <w:jc w:val="both"/>
      </w:pPr>
      <w:r>
        <w:t xml:space="preserve"> Στο Παράρτημα Ι –</w:t>
      </w:r>
      <w:r w:rsidRPr="00862BE9">
        <w:rPr>
          <w:b/>
        </w:rPr>
        <w:t xml:space="preserve"> </w:t>
      </w:r>
      <w:r>
        <w:rPr>
          <w:b/>
        </w:rPr>
        <w:t>Αίτηση Υποβολής Πρότασης</w:t>
      </w:r>
      <w:r>
        <w:t>, το σημείο Β11 στο Τμήμα Β  αντικαθίσταται με το ακόλουθο σημείο Β11 :</w:t>
      </w:r>
    </w:p>
    <w:p w:rsidR="00696DAD" w:rsidRDefault="00696DAD" w:rsidP="00696DAD">
      <w:pPr>
        <w:pStyle w:val="ListParagraph"/>
        <w:jc w:val="both"/>
        <w:rPr>
          <w:bCs/>
        </w:rPr>
      </w:pPr>
      <w:r>
        <w:t>«</w:t>
      </w:r>
      <w:r>
        <w:rPr>
          <w:bCs/>
        </w:rPr>
        <w:t xml:space="preserve">Οι ΤΟΔΑ διασφαλίζουν σημαντική εκπροσώπηση των τομέων της αλιείας ή/και υδατοκαλλιέργειας σύμφωνα με το άρθρο 61, παράγραφος 3, στοιχείο β) του </w:t>
      </w:r>
      <w:r>
        <w:rPr>
          <w:bCs/>
        </w:rPr>
        <w:lastRenderedPageBreak/>
        <w:t>Κανονισμού (ΕΕ) 508/2014, ενώ οι συλλογικοί φορείς των επαγγελματιών αλιέων, υδατοκαλλιεργητών ή άλλων συναφή με τον αλιευτικό τομέα φορέων θα πρέπει να ανέρχονται σε ποσοστό τουλάχιστον 20% σε επίπεδο λήψης απόφασης, ώστε να εκπροσωπούν επαρκώς τα συμφέροντα του αλιευτικού τομέα της περιοχής παρέμβασης»</w:t>
      </w:r>
      <w:r w:rsidRPr="00191971">
        <w:rPr>
          <w:bCs/>
        </w:rPr>
        <w:t>.</w:t>
      </w:r>
    </w:p>
    <w:p w:rsidR="00696DAD" w:rsidRPr="00191971" w:rsidRDefault="00696DAD" w:rsidP="00696DAD">
      <w:pPr>
        <w:pStyle w:val="ListParagraph"/>
        <w:jc w:val="both"/>
        <w:rPr>
          <w:bCs/>
        </w:rPr>
      </w:pPr>
    </w:p>
    <w:p w:rsidR="00696DAD" w:rsidRDefault="00696DAD" w:rsidP="00696DAD">
      <w:pPr>
        <w:pStyle w:val="ListParagraph"/>
        <w:numPr>
          <w:ilvl w:val="0"/>
          <w:numId w:val="1"/>
        </w:numPr>
        <w:jc w:val="both"/>
      </w:pPr>
      <w:r>
        <w:t>Στο Παράρτημα ΙΙΙ –</w:t>
      </w:r>
      <w:r w:rsidRPr="00862BE9">
        <w:rPr>
          <w:b/>
        </w:rPr>
        <w:t xml:space="preserve"> </w:t>
      </w:r>
      <w:r>
        <w:rPr>
          <w:b/>
        </w:rPr>
        <w:t>Πρότυπο Στρατηγικής Ανάπτυξης</w:t>
      </w:r>
      <w:r>
        <w:t>, το σημείο 1.1.2  αντικαθίσταται με το ακόλουθο σημείο 1.1.2 :</w:t>
      </w:r>
    </w:p>
    <w:p w:rsidR="00696DAD" w:rsidRPr="00191971" w:rsidRDefault="00696DAD" w:rsidP="00696DAD">
      <w:pPr>
        <w:pStyle w:val="ListParagraph"/>
        <w:jc w:val="both"/>
        <w:rPr>
          <w:bCs/>
        </w:rPr>
      </w:pPr>
      <w:r>
        <w:t>«</w:t>
      </w:r>
      <w:r>
        <w:rPr>
          <w:bCs/>
        </w:rPr>
        <w:t>Οι ΤΟΔΑ διασφαλίζουν σημαντική εκπροσώπηση των τομέων της αλιείας ή/και υδατοκαλλιέργειας σύμφωνα με το άρθρο 61, παράγραφος 3, στοιχείο β) του Κανονισμού (ΕΕ) 508/2014, ενώ οι συλλογικοί φορείς των επαγγελματιών αλιέων, υδατοκαλλιεργητών ή άλλων συναφή με τον αλιευτικό τομέα φορέων θα πρέπει να ανέρχονται σε ποσοστό τουλάχιστον 20% σε επίπεδο λήψης απόφασης, ώστε να εκπροσωπούν επαρκώς τα συμφέροντα του αλιευτικού τομέα της περιοχής παρέμβασης»</w:t>
      </w:r>
      <w:r w:rsidRPr="00191971">
        <w:rPr>
          <w:bCs/>
        </w:rPr>
        <w:t>.</w:t>
      </w:r>
    </w:p>
    <w:p w:rsidR="00696DAD" w:rsidRDefault="00696DAD" w:rsidP="00696DAD">
      <w:pPr>
        <w:ind w:left="720"/>
        <w:jc w:val="both"/>
      </w:pPr>
    </w:p>
    <w:p w:rsidR="00745D4A" w:rsidRPr="00862BE9" w:rsidRDefault="00745D4A" w:rsidP="00862BE9"/>
    <w:p w:rsidR="00862BE9" w:rsidRDefault="00862BE9" w:rsidP="00862BE9"/>
    <w:sectPr w:rsidR="00862BE9" w:rsidSect="00DA074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959" w:rsidRDefault="00510959">
      <w:r>
        <w:separator/>
      </w:r>
    </w:p>
  </w:endnote>
  <w:endnote w:type="continuationSeparator" w:id="1">
    <w:p w:rsidR="00510959" w:rsidRDefault="00510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97" w:rsidRDefault="008D7497" w:rsidP="008D7497">
    <w:pPr>
      <w:pStyle w:val="Footer"/>
      <w:pBdr>
        <w:top w:val="single" w:sz="4" w:space="1" w:color="auto"/>
      </w:pBdr>
      <w:jc w:val="right"/>
      <w:rPr>
        <w:rFonts w:ascii="Calibri" w:hAnsi="Calibri" w:cs="Calibri"/>
        <w:i/>
        <w:sz w:val="20"/>
      </w:rPr>
    </w:pPr>
    <w:r>
      <w:rPr>
        <w:rFonts w:ascii="Calibri" w:hAnsi="Calibri" w:cs="Calibri"/>
        <w:i/>
        <w:sz w:val="20"/>
      </w:rPr>
      <w:t>Σελίδ</w:t>
    </w:r>
    <w:r>
      <w:rPr>
        <w:rFonts w:ascii="Calibri" w:hAnsi="Calibri" w:cs="Calibri"/>
        <w:i/>
        <w:sz w:val="20"/>
        <w:lang w:val="el-GR"/>
      </w:rPr>
      <w:t>α</w:t>
    </w:r>
    <w:r>
      <w:rPr>
        <w:rFonts w:ascii="Calibri" w:hAnsi="Calibri" w:cs="Calibri"/>
        <w:i/>
        <w:sz w:val="20"/>
      </w:rPr>
      <w:t xml:space="preserve"> </w:t>
    </w:r>
    <w:r>
      <w:rPr>
        <w:rFonts w:ascii="Calibri" w:hAnsi="Calibri" w:cs="Calibri"/>
        <w:b/>
        <w:bCs/>
        <w:i/>
        <w:sz w:val="20"/>
      </w:rPr>
      <w:fldChar w:fldCharType="begin"/>
    </w:r>
    <w:r>
      <w:rPr>
        <w:rFonts w:ascii="Calibri" w:hAnsi="Calibri" w:cs="Calibri"/>
        <w:b/>
        <w:bCs/>
        <w:i/>
        <w:sz w:val="20"/>
      </w:rPr>
      <w:instrText xml:space="preserve"> PAGE </w:instrText>
    </w:r>
    <w:r>
      <w:rPr>
        <w:rFonts w:ascii="Calibri" w:hAnsi="Calibri" w:cs="Calibri"/>
        <w:b/>
        <w:bCs/>
        <w:i/>
        <w:sz w:val="20"/>
      </w:rPr>
      <w:fldChar w:fldCharType="separate"/>
    </w:r>
    <w:r w:rsidR="00A80A3A">
      <w:rPr>
        <w:rFonts w:ascii="Calibri" w:hAnsi="Calibri" w:cs="Calibri"/>
        <w:b/>
        <w:bCs/>
        <w:i/>
        <w:noProof/>
        <w:sz w:val="20"/>
      </w:rPr>
      <w:t>1</w:t>
    </w:r>
    <w:r>
      <w:rPr>
        <w:rFonts w:ascii="Calibri" w:hAnsi="Calibri" w:cs="Calibri"/>
        <w:b/>
        <w:bCs/>
        <w:i/>
        <w:sz w:val="20"/>
      </w:rPr>
      <w:fldChar w:fldCharType="end"/>
    </w:r>
    <w:r>
      <w:rPr>
        <w:rFonts w:ascii="Calibri" w:hAnsi="Calibri" w:cs="Calibri"/>
        <w:i/>
        <w:sz w:val="20"/>
      </w:rPr>
      <w:t xml:space="preserve"> από </w:t>
    </w:r>
    <w:r>
      <w:rPr>
        <w:rFonts w:ascii="Calibri" w:hAnsi="Calibri" w:cs="Calibri"/>
        <w:b/>
        <w:bCs/>
        <w:i/>
        <w:sz w:val="20"/>
      </w:rPr>
      <w:fldChar w:fldCharType="begin"/>
    </w:r>
    <w:r>
      <w:rPr>
        <w:rFonts w:ascii="Calibri" w:hAnsi="Calibri" w:cs="Calibri"/>
        <w:b/>
        <w:bCs/>
        <w:i/>
        <w:sz w:val="20"/>
      </w:rPr>
      <w:instrText xml:space="preserve"> NUMPAGES  </w:instrText>
    </w:r>
    <w:r>
      <w:rPr>
        <w:rFonts w:ascii="Calibri" w:hAnsi="Calibri" w:cs="Calibri"/>
        <w:b/>
        <w:bCs/>
        <w:i/>
        <w:sz w:val="20"/>
      </w:rPr>
      <w:fldChar w:fldCharType="separate"/>
    </w:r>
    <w:r w:rsidR="00A80A3A">
      <w:rPr>
        <w:rFonts w:ascii="Calibri" w:hAnsi="Calibri" w:cs="Calibri"/>
        <w:b/>
        <w:bCs/>
        <w:i/>
        <w:noProof/>
        <w:sz w:val="20"/>
      </w:rPr>
      <w:t>4</w:t>
    </w:r>
    <w:r>
      <w:rPr>
        <w:rFonts w:ascii="Calibri" w:hAnsi="Calibri" w:cs="Calibri"/>
        <w:b/>
        <w:bCs/>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97" w:rsidRPr="00B2057D" w:rsidRDefault="008D7497" w:rsidP="008D7497">
    <w:pPr>
      <w:pStyle w:val="Footer"/>
      <w:jc w:val="right"/>
      <w:rPr>
        <w:rFonts w:ascii="Calibri" w:hAnsi="Calibri" w:cs="Calibri"/>
        <w:i/>
        <w:sz w:val="20"/>
        <w:szCs w:val="20"/>
        <w:lang w:val="el-GR"/>
      </w:rPr>
    </w:pPr>
    <w:r w:rsidRPr="00B2057D">
      <w:rPr>
        <w:rFonts w:ascii="Calibri" w:hAnsi="Calibri" w:cs="Calibri"/>
        <w:i/>
        <w:sz w:val="20"/>
        <w:szCs w:val="20"/>
        <w:lang w:val="el-GR"/>
      </w:rPr>
      <w:t xml:space="preserve">Σελίδα </w:t>
    </w:r>
    <w:r w:rsidRPr="00B2057D">
      <w:rPr>
        <w:rFonts w:ascii="Calibri" w:hAnsi="Calibri" w:cs="Calibri"/>
        <w:i/>
        <w:sz w:val="20"/>
        <w:szCs w:val="20"/>
        <w:lang w:val="el-GR"/>
      </w:rPr>
      <w:fldChar w:fldCharType="begin"/>
    </w:r>
    <w:r w:rsidRPr="00B2057D">
      <w:rPr>
        <w:rFonts w:ascii="Calibri" w:hAnsi="Calibri" w:cs="Calibri"/>
        <w:i/>
        <w:sz w:val="20"/>
        <w:szCs w:val="20"/>
        <w:lang w:val="el-GR"/>
      </w:rPr>
      <w:instrText xml:space="preserve"> PAGE </w:instrText>
    </w:r>
    <w:r w:rsidRPr="00B2057D">
      <w:rPr>
        <w:rFonts w:ascii="Calibri" w:hAnsi="Calibri" w:cs="Calibri"/>
        <w:i/>
        <w:sz w:val="20"/>
        <w:szCs w:val="20"/>
        <w:lang w:val="el-GR"/>
      </w:rPr>
      <w:fldChar w:fldCharType="separate"/>
    </w:r>
    <w:r>
      <w:rPr>
        <w:rFonts w:ascii="Calibri" w:hAnsi="Calibri" w:cs="Calibri"/>
        <w:i/>
        <w:noProof/>
        <w:sz w:val="20"/>
        <w:szCs w:val="20"/>
        <w:lang w:val="el-GR"/>
      </w:rPr>
      <w:t>2</w:t>
    </w:r>
    <w:r w:rsidRPr="00B2057D">
      <w:rPr>
        <w:rFonts w:ascii="Calibri" w:hAnsi="Calibri" w:cs="Calibri"/>
        <w:i/>
        <w:sz w:val="20"/>
        <w:szCs w:val="20"/>
        <w:lang w:val="el-GR"/>
      </w:rPr>
      <w:fldChar w:fldCharType="end"/>
    </w:r>
    <w:r w:rsidRPr="00B2057D">
      <w:rPr>
        <w:rFonts w:ascii="Calibri" w:hAnsi="Calibri" w:cs="Calibri"/>
        <w:i/>
        <w:sz w:val="20"/>
        <w:szCs w:val="20"/>
        <w:lang w:val="el-GR"/>
      </w:rPr>
      <w:t xml:space="preserve">  από </w:t>
    </w:r>
    <w:r w:rsidRPr="00B2057D">
      <w:rPr>
        <w:rFonts w:ascii="Calibri" w:hAnsi="Calibri" w:cs="Calibri"/>
        <w:i/>
        <w:sz w:val="20"/>
        <w:szCs w:val="20"/>
        <w:lang w:val="el-GR"/>
      </w:rPr>
      <w:fldChar w:fldCharType="begin"/>
    </w:r>
    <w:r w:rsidRPr="00B2057D">
      <w:rPr>
        <w:rFonts w:ascii="Calibri" w:hAnsi="Calibri" w:cs="Calibri"/>
        <w:i/>
        <w:sz w:val="20"/>
        <w:szCs w:val="20"/>
        <w:lang w:val="el-GR"/>
      </w:rPr>
      <w:instrText xml:space="preserve"> NUMPAGES </w:instrText>
    </w:r>
    <w:r w:rsidRPr="00B2057D">
      <w:rPr>
        <w:rFonts w:ascii="Calibri" w:hAnsi="Calibri" w:cs="Calibri"/>
        <w:i/>
        <w:sz w:val="20"/>
        <w:szCs w:val="20"/>
        <w:lang w:val="el-GR"/>
      </w:rPr>
      <w:fldChar w:fldCharType="separate"/>
    </w:r>
    <w:r w:rsidR="00483F76">
      <w:rPr>
        <w:rFonts w:ascii="Calibri" w:hAnsi="Calibri" w:cs="Calibri"/>
        <w:i/>
        <w:noProof/>
        <w:sz w:val="20"/>
        <w:szCs w:val="20"/>
        <w:lang w:val="el-GR"/>
      </w:rPr>
      <w:t>4</w:t>
    </w:r>
    <w:r w:rsidRPr="00B2057D">
      <w:rPr>
        <w:rFonts w:ascii="Calibri" w:hAnsi="Calibri" w:cs="Calibri"/>
        <w:i/>
        <w:sz w:val="20"/>
        <w:szCs w:val="20"/>
        <w:lang w:val="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959" w:rsidRDefault="00510959">
      <w:r>
        <w:separator/>
      </w:r>
    </w:p>
  </w:footnote>
  <w:footnote w:type="continuationSeparator" w:id="1">
    <w:p w:rsidR="00510959" w:rsidRDefault="00510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1F2"/>
    <w:multiLevelType w:val="hybridMultilevel"/>
    <w:tmpl w:val="23D627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62BE9"/>
    <w:rsid w:val="00033D01"/>
    <w:rsid w:val="00090AEB"/>
    <w:rsid w:val="000C5C3F"/>
    <w:rsid w:val="00147B57"/>
    <w:rsid w:val="00257B6B"/>
    <w:rsid w:val="002E69C0"/>
    <w:rsid w:val="003819DB"/>
    <w:rsid w:val="0039189B"/>
    <w:rsid w:val="003D0454"/>
    <w:rsid w:val="00407E38"/>
    <w:rsid w:val="00483F76"/>
    <w:rsid w:val="004D2B30"/>
    <w:rsid w:val="004D39DC"/>
    <w:rsid w:val="00510959"/>
    <w:rsid w:val="005F208B"/>
    <w:rsid w:val="00603E58"/>
    <w:rsid w:val="006947E5"/>
    <w:rsid w:val="00696DAD"/>
    <w:rsid w:val="006A7E6D"/>
    <w:rsid w:val="00711DEA"/>
    <w:rsid w:val="00711F05"/>
    <w:rsid w:val="00745D4A"/>
    <w:rsid w:val="008143A9"/>
    <w:rsid w:val="00862BE9"/>
    <w:rsid w:val="008D7497"/>
    <w:rsid w:val="008F025F"/>
    <w:rsid w:val="00906173"/>
    <w:rsid w:val="00937C2A"/>
    <w:rsid w:val="00976A18"/>
    <w:rsid w:val="0097757F"/>
    <w:rsid w:val="009C35AE"/>
    <w:rsid w:val="009C6BC8"/>
    <w:rsid w:val="00A37C9A"/>
    <w:rsid w:val="00A80A3A"/>
    <w:rsid w:val="00AC62A8"/>
    <w:rsid w:val="00AE7FE8"/>
    <w:rsid w:val="00B13857"/>
    <w:rsid w:val="00B22002"/>
    <w:rsid w:val="00BE6510"/>
    <w:rsid w:val="00C660A3"/>
    <w:rsid w:val="00CC0A0A"/>
    <w:rsid w:val="00D54C63"/>
    <w:rsid w:val="00DA0740"/>
    <w:rsid w:val="00E868D0"/>
    <w:rsid w:val="00EC1578"/>
    <w:rsid w:val="00F3667D"/>
    <w:rsid w:val="00F71EF2"/>
    <w:rsid w:val="00FF4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E9"/>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E9"/>
    <w:pPr>
      <w:ind w:left="720"/>
    </w:pPr>
  </w:style>
  <w:style w:type="paragraph" w:styleId="BalloonText">
    <w:name w:val="Balloon Text"/>
    <w:basedOn w:val="Normal"/>
    <w:link w:val="BalloonTextChar"/>
    <w:uiPriority w:val="99"/>
    <w:semiHidden/>
    <w:unhideWhenUsed/>
    <w:rsid w:val="00D54C63"/>
    <w:rPr>
      <w:rFonts w:ascii="Tahoma" w:hAnsi="Tahoma"/>
      <w:sz w:val="16"/>
      <w:szCs w:val="16"/>
      <w:lang/>
    </w:rPr>
  </w:style>
  <w:style w:type="character" w:customStyle="1" w:styleId="BalloonTextChar">
    <w:name w:val="Balloon Text Char"/>
    <w:link w:val="BalloonText"/>
    <w:uiPriority w:val="99"/>
    <w:semiHidden/>
    <w:rsid w:val="00D54C63"/>
    <w:rPr>
      <w:rFonts w:ascii="Tahoma" w:hAnsi="Tahoma" w:cs="Tahoma"/>
      <w:sz w:val="16"/>
      <w:szCs w:val="16"/>
    </w:rPr>
  </w:style>
  <w:style w:type="paragraph" w:styleId="Footer">
    <w:name w:val="footer"/>
    <w:aliases w:val="ft,Fakelos_Enotita_Sel,fo,Footer1,f1"/>
    <w:basedOn w:val="Normal"/>
    <w:link w:val="FooterChar"/>
    <w:uiPriority w:val="99"/>
    <w:unhideWhenUsed/>
    <w:rsid w:val="00745D4A"/>
    <w:pPr>
      <w:tabs>
        <w:tab w:val="center" w:pos="4153"/>
        <w:tab w:val="right" w:pos="8306"/>
      </w:tabs>
    </w:pPr>
    <w:rPr>
      <w:rFonts w:ascii="Times New Roman" w:eastAsia="MS Mincho" w:hAnsi="Times New Roman"/>
      <w:sz w:val="24"/>
      <w:szCs w:val="24"/>
      <w:lang w:val="en-GB"/>
    </w:rPr>
  </w:style>
  <w:style w:type="character" w:customStyle="1" w:styleId="FooterChar">
    <w:name w:val="Footer Char"/>
    <w:aliases w:val="ft Char,Fakelos_Enotita_Sel Char,fo Char,Footer1 Char,f1 Char"/>
    <w:link w:val="Footer"/>
    <w:uiPriority w:val="99"/>
    <w:rsid w:val="00745D4A"/>
    <w:rPr>
      <w:rFonts w:ascii="Times New Roman" w:eastAsia="MS Mincho" w:hAnsi="Times New Roman"/>
      <w:sz w:val="24"/>
      <w:szCs w:val="24"/>
      <w:lang w:val="en-GB"/>
    </w:rPr>
  </w:style>
  <w:style w:type="character" w:styleId="CommentReference">
    <w:name w:val="annotation reference"/>
    <w:uiPriority w:val="99"/>
    <w:semiHidden/>
    <w:unhideWhenUsed/>
    <w:rsid w:val="008F025F"/>
    <w:rPr>
      <w:sz w:val="16"/>
      <w:szCs w:val="16"/>
    </w:rPr>
  </w:style>
  <w:style w:type="paragraph" w:styleId="CommentText">
    <w:name w:val="annotation text"/>
    <w:basedOn w:val="Normal"/>
    <w:link w:val="CommentTextChar"/>
    <w:uiPriority w:val="99"/>
    <w:semiHidden/>
    <w:unhideWhenUsed/>
    <w:rsid w:val="008F025F"/>
    <w:rPr>
      <w:sz w:val="20"/>
      <w:szCs w:val="20"/>
      <w:lang/>
    </w:rPr>
  </w:style>
  <w:style w:type="character" w:customStyle="1" w:styleId="CommentTextChar">
    <w:name w:val="Comment Text Char"/>
    <w:link w:val="CommentText"/>
    <w:uiPriority w:val="99"/>
    <w:semiHidden/>
    <w:rsid w:val="008F025F"/>
    <w:rPr>
      <w:lang w:val="el-GR"/>
    </w:rPr>
  </w:style>
  <w:style w:type="paragraph" w:styleId="CommentSubject">
    <w:name w:val="annotation subject"/>
    <w:basedOn w:val="CommentText"/>
    <w:next w:val="CommentText"/>
    <w:link w:val="CommentSubjectChar"/>
    <w:uiPriority w:val="99"/>
    <w:semiHidden/>
    <w:unhideWhenUsed/>
    <w:rsid w:val="008F025F"/>
    <w:rPr>
      <w:b/>
      <w:bCs/>
    </w:rPr>
  </w:style>
  <w:style w:type="character" w:customStyle="1" w:styleId="CommentSubjectChar">
    <w:name w:val="Comment Subject Char"/>
    <w:link w:val="CommentSubject"/>
    <w:uiPriority w:val="99"/>
    <w:semiHidden/>
    <w:rsid w:val="008F025F"/>
    <w:rPr>
      <w:b/>
      <w:bCs/>
      <w:lang w:val="el-GR"/>
    </w:rPr>
  </w:style>
  <w:style w:type="character" w:styleId="Hyperlink">
    <w:name w:val="Hyperlink"/>
    <w:basedOn w:val="DefaultParagraphFont"/>
    <w:uiPriority w:val="99"/>
    <w:semiHidden/>
    <w:unhideWhenUsed/>
    <w:rsid w:val="00407E38"/>
    <w:rPr>
      <w:color w:val="0000FF"/>
      <w:u w:val="single"/>
    </w:rPr>
  </w:style>
</w:styles>
</file>

<file path=word/webSettings.xml><?xml version="1.0" encoding="utf-8"?>
<w:webSettings xmlns:r="http://schemas.openxmlformats.org/officeDocument/2006/relationships" xmlns:w="http://schemas.openxmlformats.org/wordprocessingml/2006/main">
  <w:divs>
    <w:div w:id="18757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yprus.gov.cy/portal/portal.nsf/0/64b48afa606d5553c22570360021f4a4/Text/8.30D2?OpenElement&amp;FieldElemFormat=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Links>
    <vt:vector size="6" baseType="variant">
      <vt:variant>
        <vt:i4>393216</vt:i4>
      </vt:variant>
      <vt:variant>
        <vt:i4>2372</vt:i4>
      </vt:variant>
      <vt:variant>
        <vt:i4>1025</vt:i4>
      </vt:variant>
      <vt:variant>
        <vt:i4>1</vt:i4>
      </vt:variant>
      <vt:variant>
        <vt:lpwstr>http://www.cyprus.gov.cy/portal/portal.nsf/0/64b48afa606d5553c22570360021f4a4/Text/8.30D2?OpenElement&amp;FieldElemFormat=jpg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Andri Eracleous</cp:lastModifiedBy>
  <cp:revision>2</cp:revision>
  <cp:lastPrinted>2016-07-28T05:22:00Z</cp:lastPrinted>
  <dcterms:created xsi:type="dcterms:W3CDTF">2016-07-28T10:43:00Z</dcterms:created>
  <dcterms:modified xsi:type="dcterms:W3CDTF">2016-07-28T10:43:00Z</dcterms:modified>
</cp:coreProperties>
</file>